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6825" w14:textId="7EBD5C22" w:rsidR="008674DC" w:rsidRDefault="008674DC" w:rsidP="008674DC">
      <w:pPr>
        <w:pStyle w:val="NormaleWeb"/>
        <w:spacing w:after="227" w:afterAutospacing="0"/>
      </w:pPr>
      <w:r>
        <w:rPr>
          <w:rFonts w:ascii="Arial" w:hAnsi="Arial" w:cs="Arial"/>
          <w:color w:val="454545"/>
          <w:sz w:val="24"/>
          <w:szCs w:val="24"/>
        </w:rPr>
        <w:t>È stato approvato, nella serata di ieri, </w:t>
      </w:r>
      <w:r>
        <w:rPr>
          <w:rStyle w:val="Enfasigrassetto"/>
          <w:rFonts w:ascii="Arial" w:hAnsi="Arial" w:cs="Arial"/>
          <w:color w:val="454545"/>
          <w:sz w:val="24"/>
          <w:szCs w:val="24"/>
        </w:rPr>
        <w:t>13 maggio</w:t>
      </w:r>
      <w:r>
        <w:rPr>
          <w:rFonts w:ascii="Arial" w:hAnsi="Arial" w:cs="Arial"/>
          <w:color w:val="454545"/>
          <w:sz w:val="24"/>
          <w:szCs w:val="24"/>
        </w:rPr>
        <w:t>, il c.d. “</w:t>
      </w:r>
      <w:r>
        <w:rPr>
          <w:rStyle w:val="Enfasigrassetto"/>
          <w:rFonts w:ascii="Arial" w:hAnsi="Arial" w:cs="Arial"/>
          <w:color w:val="454545"/>
          <w:sz w:val="24"/>
          <w:szCs w:val="24"/>
        </w:rPr>
        <w:t>Decreto Rilancio</w:t>
      </w:r>
      <w:r>
        <w:rPr>
          <w:rFonts w:ascii="Arial" w:hAnsi="Arial" w:cs="Arial"/>
          <w:color w:val="454545"/>
          <w:sz w:val="24"/>
          <w:szCs w:val="24"/>
        </w:rPr>
        <w:t>”. Si richiamano, di seguito, alcune delle </w:t>
      </w:r>
      <w:r>
        <w:rPr>
          <w:rStyle w:val="Enfasigrassetto"/>
          <w:rFonts w:ascii="Arial" w:hAnsi="Arial" w:cs="Arial"/>
          <w:color w:val="454545"/>
          <w:sz w:val="24"/>
          <w:szCs w:val="24"/>
        </w:rPr>
        <w:t>principali novità previste</w:t>
      </w:r>
      <w:r>
        <w:rPr>
          <w:rFonts w:ascii="Arial" w:hAnsi="Arial" w:cs="Arial"/>
          <w:color w:val="454545"/>
          <w:sz w:val="24"/>
          <w:szCs w:val="24"/>
        </w:rPr>
        <w:t>.</w:t>
      </w:r>
      <w:r>
        <w:rPr>
          <w:rFonts w:ascii="Arial" w:hAnsi="Arial" w:cs="Arial"/>
          <w:color w:val="454545"/>
          <w:sz w:val="24"/>
          <w:szCs w:val="24"/>
        </w:rPr>
        <w:t xml:space="preserve"> Con la precisazione che il DL non è ancora stato pubblicato e potrebbe essere soggetto a variazioni.</w:t>
      </w:r>
    </w:p>
    <w:tbl>
      <w:tblPr>
        <w:tblW w:w="9960" w:type="dxa"/>
        <w:tblCellSpacing w:w="0" w:type="dxa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2335"/>
        <w:gridCol w:w="7625"/>
      </w:tblGrid>
      <w:tr w:rsidR="008674DC" w14:paraId="1AF3B20B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3F934376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Versamento Irap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0F8FCE8D" w14:textId="77777777" w:rsidR="008674DC" w:rsidRDefault="008674DC">
            <w:pPr>
              <w:pStyle w:val="NormaleWeb"/>
            </w:pPr>
            <w:r>
              <w:t>Non è dovuto il versamento del </w:t>
            </w:r>
            <w:r>
              <w:rPr>
                <w:rStyle w:val="Enfasigrassetto"/>
              </w:rPr>
              <w:t>saldo Irap 2019</w:t>
            </w:r>
            <w:r>
              <w:t> e della </w:t>
            </w:r>
            <w:r>
              <w:rPr>
                <w:rStyle w:val="Enfasigrassetto"/>
              </w:rPr>
              <w:t>prima rata dell’acconto</w:t>
            </w:r>
            <w:r>
              <w:t>, dai contribuenti hanno maturato, nel periodo d’imposta precedente, </w:t>
            </w:r>
            <w:r>
              <w:rPr>
                <w:rStyle w:val="Enfasigrassetto"/>
              </w:rPr>
              <w:t>ricavi non superiori a 250 milioni di euro</w:t>
            </w:r>
            <w:r>
              <w:t>.</w:t>
            </w:r>
          </w:p>
        </w:tc>
      </w:tr>
      <w:tr w:rsidR="008674DC" w14:paraId="130B1CF8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12021A07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Contributo a fondo perduto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5AD43B3" w14:textId="77777777" w:rsidR="008674DC" w:rsidRDefault="008674DC">
            <w:pPr>
              <w:pStyle w:val="NormaleWeb"/>
            </w:pPr>
            <w:r>
              <w:t>È riconosciuto un </w:t>
            </w:r>
            <w:r>
              <w:rPr>
                <w:rStyle w:val="Enfasigrassetto"/>
              </w:rPr>
              <w:t>contributo a fondo perduto</w:t>
            </w:r>
            <w:r>
              <w:t> ai </w:t>
            </w:r>
            <w:r>
              <w:rPr>
                <w:rStyle w:val="Enfasigrassetto"/>
              </w:rPr>
              <w:t>titolari di partita Iva</w:t>
            </w:r>
            <w:r>
              <w:t> con </w:t>
            </w:r>
            <w:r>
              <w:rPr>
                <w:rStyle w:val="Enfasigrassetto"/>
              </w:rPr>
              <w:t>ricavi non superiori a 5 milioni di euro</w:t>
            </w:r>
            <w:r>
              <w:t> nel periodo d’imposta precedente, se l’ammontare del </w:t>
            </w:r>
            <w:r>
              <w:rPr>
                <w:rStyle w:val="Enfasigrassetto"/>
              </w:rPr>
              <w:t>fatturato</w:t>
            </w:r>
            <w:r>
              <w:t> e dei corrispettivi del mese di </w:t>
            </w:r>
            <w:r>
              <w:rPr>
                <w:rStyle w:val="Enfasigrassetto"/>
              </w:rPr>
              <w:t>aprile 2020 è inferiore ai due terzi</w:t>
            </w:r>
            <w:r>
              <w:t> dell’ammontare del fatturato e dei corrispettivi del mese di </w:t>
            </w:r>
            <w:r>
              <w:rPr>
                <w:rStyle w:val="Enfasigrassetto"/>
              </w:rPr>
              <w:t>aprile 2019</w:t>
            </w:r>
            <w:r>
              <w:t>.</w:t>
            </w:r>
            <w:r>
              <w:br/>
              <w:t>L’importo del contributo è </w:t>
            </w:r>
            <w:r>
              <w:rPr>
                <w:rStyle w:val="Enfasigrassetto"/>
              </w:rPr>
              <w:t>compreso tra il 20 e il 10% della riduzione di fatturato</w:t>
            </w:r>
            <w:r>
              <w:t>, a seconda dell’</w:t>
            </w:r>
            <w:r>
              <w:rPr>
                <w:rStyle w:val="Enfasigrassetto"/>
              </w:rPr>
              <w:t>ammontare dei ricavi e dei compensi </w:t>
            </w:r>
            <w:r>
              <w:t>del periodo d’imposta precedente.</w:t>
            </w:r>
          </w:p>
        </w:tc>
      </w:tr>
      <w:tr w:rsidR="008674DC" w14:paraId="15CD86A6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2C632226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Rafforzamento patrimoniale delle imprese di medie dimensioni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221CD4A" w14:textId="77777777" w:rsidR="008674DC" w:rsidRDefault="008674DC">
            <w:pPr>
              <w:pStyle w:val="NormaleWeb"/>
            </w:pPr>
            <w:r>
              <w:t>Il Decreto Rilancio presenta una serie di misure finalizzate al </w:t>
            </w:r>
            <w:r>
              <w:rPr>
                <w:rStyle w:val="Enfasigrassetto"/>
              </w:rPr>
              <w:t>rafforzamento patrimoniale di S.p.A., S.r.l, e società cooperative con ricavi superiori a 5 milioni di euro</w:t>
            </w:r>
            <w:r>
              <w:t> e </w:t>
            </w:r>
            <w:r>
              <w:rPr>
                <w:rStyle w:val="Enfasigrassetto"/>
              </w:rPr>
              <w:t>fino a 50 milioni di euro</w:t>
            </w:r>
            <w:r>
              <w:t>, che hanno subito una </w:t>
            </w:r>
            <w:r>
              <w:rPr>
                <w:rStyle w:val="Enfasigrassetto"/>
              </w:rPr>
              <w:t>riduzione dei ricavi</w:t>
            </w:r>
            <w:r>
              <w:t> a causa dell’emergenza sanitaria in corso.</w:t>
            </w:r>
            <w:r>
              <w:br/>
              <w:t>Le misure si concretizzano in una </w:t>
            </w:r>
            <w:r>
              <w:rPr>
                <w:rStyle w:val="Enfasigrassetto"/>
              </w:rPr>
              <w:t>detrazione d’imposta</w:t>
            </w:r>
            <w:r>
              <w:t> in capo ai </w:t>
            </w:r>
            <w:r>
              <w:rPr>
                <w:rStyle w:val="Enfasigrassetto"/>
              </w:rPr>
              <w:t>soci</w:t>
            </w:r>
            <w:r>
              <w:t xml:space="preserve"> persone fisiche (o una deduzione per i soci soggetti </w:t>
            </w:r>
            <w:proofErr w:type="spellStart"/>
            <w:r>
              <w:t>Ires</w:t>
            </w:r>
            <w:proofErr w:type="spellEnd"/>
            <w:r>
              <w:t>) e nell’istituzione di un “</w:t>
            </w:r>
            <w:r>
              <w:rPr>
                <w:rStyle w:val="Enfasigrassetto"/>
              </w:rPr>
              <w:t>Fondo Patrimonio PMI</w:t>
            </w:r>
            <w:r>
              <w:t>”, finalizzato a </w:t>
            </w:r>
            <w:r>
              <w:rPr>
                <w:rStyle w:val="Enfasigrassetto"/>
              </w:rPr>
              <w:t>sottoscrivere strumenti finanziari partecipativi</w:t>
            </w:r>
            <w:r>
              <w:t> emessi dalle società.</w:t>
            </w:r>
          </w:p>
        </w:tc>
      </w:tr>
      <w:tr w:rsidR="008674DC" w14:paraId="749B2C5E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08B33E0A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Credito d’imposta locazioni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5F5FADCB" w14:textId="77777777" w:rsidR="008674DC" w:rsidRDefault="008674DC">
            <w:pPr>
              <w:pStyle w:val="NormaleWeb"/>
            </w:pPr>
            <w:r>
              <w:t>Per i soggetti esercenti attività d’impresa, arte o professione, con </w:t>
            </w:r>
            <w:r>
              <w:rPr>
                <w:rStyle w:val="Enfasigrassetto"/>
              </w:rPr>
              <w:t>ricavi o compensi non superiori a 5 milioni di euro</w:t>
            </w:r>
            <w:r>
              <w:t> nel periodo d’imposta precedente, è previsto un </w:t>
            </w:r>
            <w:r>
              <w:rPr>
                <w:rStyle w:val="Enfasigrassetto"/>
              </w:rPr>
              <w:t>credito d’imposta del 60% del canone di locazione di immobili a uso non abitativo</w:t>
            </w:r>
            <w:r>
              <w:t> destinati allo svolgimento dell’attività industriale, commerciale, artigianale, agricola, di interesse turistico o all’esercizio abituale e professionale dell’attività di lavoro autonomo.</w:t>
            </w:r>
            <w:r>
              <w:br/>
              <w:t>Il credito d’imposta spetta anche, nella minore misura del </w:t>
            </w:r>
            <w:r>
              <w:rPr>
                <w:rStyle w:val="Enfasigrassetto"/>
              </w:rPr>
              <w:t>30%</w:t>
            </w:r>
            <w:r>
              <w:t>, in caso di </w:t>
            </w:r>
            <w:r>
              <w:rPr>
                <w:rStyle w:val="Enfasigrassetto"/>
              </w:rPr>
              <w:t>contratti di servizi a prestazioni complesse</w:t>
            </w:r>
            <w:r>
              <w:t> o di </w:t>
            </w:r>
            <w:r>
              <w:rPr>
                <w:rStyle w:val="Enfasigrassetto"/>
              </w:rPr>
              <w:t>affitto d’azienda</w:t>
            </w:r>
            <w:r>
              <w:t>, comprensivi di almeno un </w:t>
            </w:r>
            <w:r>
              <w:rPr>
                <w:rStyle w:val="Enfasigrassetto"/>
              </w:rPr>
              <w:t>immobile a uso non abitativo</w:t>
            </w:r>
            <w:r>
              <w:t>.</w:t>
            </w:r>
            <w:r>
              <w:br/>
              <w:t>Il credito d’imposta è commisurato all’importo versato nel </w:t>
            </w:r>
            <w:r>
              <w:rPr>
                <w:rStyle w:val="Enfasigrassetto"/>
              </w:rPr>
              <w:t>periodo d’imposta 2020 </w:t>
            </w:r>
            <w:r>
              <w:t>con riferimento a ciascuno dei mesi di </w:t>
            </w:r>
            <w:r>
              <w:rPr>
                <w:rStyle w:val="Enfasigrassetto"/>
              </w:rPr>
              <w:t>marzo, aprile e maggio.</w:t>
            </w:r>
          </w:p>
        </w:tc>
      </w:tr>
      <w:tr w:rsidR="008674DC" w14:paraId="699B6994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00021A5F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Reddito di emergenza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6BBA6AAD" w14:textId="77777777" w:rsidR="008674DC" w:rsidRDefault="008674DC">
            <w:pPr>
              <w:pStyle w:val="NormaleWeb"/>
            </w:pPr>
            <w:r>
              <w:t>È riconosciuto un </w:t>
            </w:r>
            <w:r>
              <w:rPr>
                <w:rStyle w:val="Enfasigrassetto"/>
              </w:rPr>
              <w:t>reddito straordinario ai nuclei familiari</w:t>
            </w:r>
            <w:r>
              <w:t> in condizioni di </w:t>
            </w:r>
            <w:r>
              <w:rPr>
                <w:rStyle w:val="Enfasigrassetto"/>
              </w:rPr>
              <w:t>necessità economica</w:t>
            </w:r>
            <w:r>
              <w:t>, che presentano un valore Isee inferiore a 15.000 euro, in </w:t>
            </w:r>
            <w:r>
              <w:rPr>
                <w:rStyle w:val="Enfasigrassetto"/>
              </w:rPr>
              <w:t>due quote ciascuna pari a 400 euro</w:t>
            </w:r>
            <w:r>
              <w:t> (da moltiplicarsi per il corrispondente parametro della scala di equivalenza).</w:t>
            </w:r>
          </w:p>
        </w:tc>
      </w:tr>
      <w:tr w:rsidR="008674DC" w14:paraId="27159FB8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0A2E4EC7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lastRenderedPageBreak/>
              <w:t>Indennità di 600 euro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2D90CD02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Ai soggetti già beneficiari,</w:t>
            </w:r>
            <w:r>
              <w:t> per il mese di marzo, dell’indennità di 600 euro, la medesima indennità pari a </w:t>
            </w:r>
            <w:r>
              <w:rPr>
                <w:rStyle w:val="Enfasigrassetto"/>
              </w:rPr>
              <w:t>600 euro</w:t>
            </w:r>
            <w:r>
              <w:t> è </w:t>
            </w:r>
            <w:r>
              <w:rPr>
                <w:rStyle w:val="Enfasigrassetto"/>
              </w:rPr>
              <w:t>erogata anche per il mese di aprile 2020</w:t>
            </w:r>
            <w:r>
              <w:t>.</w:t>
            </w:r>
            <w:r>
              <w:br/>
              <w:t>Per il mese di </w:t>
            </w:r>
            <w:r>
              <w:rPr>
                <w:rStyle w:val="Enfasigrassetto"/>
              </w:rPr>
              <w:t>maggio</w:t>
            </w:r>
            <w:r>
              <w:t> l’indennità è individuata in misura pari a </w:t>
            </w:r>
            <w:r>
              <w:rPr>
                <w:rStyle w:val="Enfasigrassetto"/>
              </w:rPr>
              <w:t>1.000 euro</w:t>
            </w:r>
            <w:r>
              <w:t>, ma solo a condizione che ci sia stata una </w:t>
            </w:r>
            <w:r>
              <w:rPr>
                <w:rStyle w:val="Enfasigrassetto"/>
              </w:rPr>
              <w:t>comprovata riduzione di almeno il 33% del reddito </w:t>
            </w:r>
            <w:r>
              <w:t>del secondo bimestre 2020, rispetto al corrispondente periodo dell’anno 2019.</w:t>
            </w:r>
            <w:r>
              <w:br/>
              <w:t>L’</w:t>
            </w:r>
            <w:r>
              <w:rPr>
                <w:rStyle w:val="Enfasigrassetto"/>
              </w:rPr>
              <w:t>indennità di 600 euro </w:t>
            </w:r>
            <w:r>
              <w:t>è inoltre riconosciuta, per il mesi di aprile e maggio, a favore di </w:t>
            </w:r>
            <w:r>
              <w:rPr>
                <w:rStyle w:val="Enfasigrassetto"/>
              </w:rPr>
              <w:t>determinate categorie di lavoratori dipendenti e autonomi</w:t>
            </w:r>
            <w:r>
              <w:t xml:space="preserve"> che, in conseguenza dell’emergenza epidemiologica da </w:t>
            </w:r>
            <w:proofErr w:type="spellStart"/>
            <w:r>
              <w:t>Covid</w:t>
            </w:r>
            <w:proofErr w:type="spellEnd"/>
            <w:r>
              <w:t xml:space="preserve"> 19 hanno </w:t>
            </w:r>
            <w:r>
              <w:rPr>
                <w:rStyle w:val="Enfasigrassetto"/>
              </w:rPr>
              <w:t>cessato, ridotto o sospeso la loro attività</w:t>
            </w:r>
            <w:r>
              <w:t> o il </w:t>
            </w:r>
            <w:r>
              <w:rPr>
                <w:rStyle w:val="Enfasigrassetto"/>
              </w:rPr>
              <w:t>loro rapporto di lavoro.</w:t>
            </w:r>
          </w:p>
        </w:tc>
      </w:tr>
      <w:tr w:rsidR="008674DC" w14:paraId="555E41D6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039D0F18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Indennità a favore dei lavoratori domestici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3B58B681" w14:textId="77777777" w:rsidR="008674DC" w:rsidRDefault="008674DC">
            <w:pPr>
              <w:pStyle w:val="NormaleWeb"/>
            </w:pPr>
            <w:r>
              <w:t>Ai </w:t>
            </w:r>
            <w:r>
              <w:rPr>
                <w:rStyle w:val="Enfasigrassetto"/>
              </w:rPr>
              <w:t>lavoratori domestici non conviventi con il datore di lavoro</w:t>
            </w:r>
            <w:r>
              <w:t>, che abbiano in essere, alla data del 23.02.2020, </w:t>
            </w:r>
            <w:r>
              <w:rPr>
                <w:rStyle w:val="Enfasigrassetto"/>
              </w:rPr>
              <w:t>uno o più contratti di lavoro per una durata complessiva superiore a 10 ore settimanali</w:t>
            </w:r>
            <w:r>
              <w:t> è riconosciuta, per i mesi di </w:t>
            </w:r>
            <w:r>
              <w:rPr>
                <w:rStyle w:val="Enfasigrassetto"/>
              </w:rPr>
              <w:t>aprile</w:t>
            </w:r>
            <w:r>
              <w:t> e </w:t>
            </w:r>
            <w:r>
              <w:rPr>
                <w:rStyle w:val="Enfasigrassetto"/>
              </w:rPr>
              <w:t>maggio 2020</w:t>
            </w:r>
            <w:r>
              <w:t>, un’</w:t>
            </w:r>
            <w:r>
              <w:rPr>
                <w:rStyle w:val="Enfasigrassetto"/>
              </w:rPr>
              <w:t>indennità mensile pari a 500 euro, </w:t>
            </w:r>
            <w:r>
              <w:t>per ciascun mese.</w:t>
            </w:r>
          </w:p>
        </w:tc>
      </w:tr>
      <w:tr w:rsidR="008674DC" w14:paraId="7713EDB6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1C1099D1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Incentivi per efficientamento energetico, sisma bonus, fotovoltaico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43E9B00E" w14:textId="77777777" w:rsidR="008674DC" w:rsidRDefault="008674DC">
            <w:pPr>
              <w:pStyle w:val="NormaleWeb"/>
            </w:pPr>
            <w:r>
              <w:t>Per le </w:t>
            </w:r>
            <w:r>
              <w:rPr>
                <w:rStyle w:val="Enfasigrassetto"/>
              </w:rPr>
              <w:t>spese sostenute dal 1° luglio 2020 e fino al 31 dicembre 2021</w:t>
            </w:r>
            <w:r>
              <w:t>, la detrazione si applica nella misura del </w:t>
            </w:r>
            <w:r>
              <w:rPr>
                <w:rStyle w:val="Enfasigrassetto"/>
              </w:rPr>
              <w:t>110%</w:t>
            </w:r>
            <w:r>
              <w:t> per le </w:t>
            </w:r>
            <w:r>
              <w:rPr>
                <w:rStyle w:val="Enfasigrassetto"/>
              </w:rPr>
              <w:t>spese di isolamento termico</w:t>
            </w:r>
            <w:r>
              <w:t> e per le spese di </w:t>
            </w:r>
            <w:r>
              <w:rPr>
                <w:rStyle w:val="Enfasigrassetto"/>
              </w:rPr>
              <w:t>sostituzione degli impianti di climatizzazione con caldaie a pompa di calore o a condensazione</w:t>
            </w:r>
            <w:r>
              <w:t>. Gli interventi devono assicurare il miglioramento di almeno </w:t>
            </w:r>
            <w:r>
              <w:rPr>
                <w:rStyle w:val="Enfasigrassetto"/>
              </w:rPr>
              <w:t>due classi energetiche</w:t>
            </w:r>
            <w:r>
              <w:t> dell’edificio.</w:t>
            </w:r>
            <w:r>
              <w:br/>
              <w:t>È riconosciuta la </w:t>
            </w:r>
            <w:r>
              <w:rPr>
                <w:rStyle w:val="Enfasigrassetto"/>
              </w:rPr>
              <w:t>detrazione del 110%</w:t>
            </w:r>
            <w:r>
              <w:t> anche per gli </w:t>
            </w:r>
            <w:r>
              <w:rPr>
                <w:rStyle w:val="Enfasigrassetto"/>
              </w:rPr>
              <w:t>interventi antisismici</w:t>
            </w:r>
            <w:r>
              <w:t> sugli edifici nonché per gli </w:t>
            </w:r>
            <w:r>
              <w:rPr>
                <w:rStyle w:val="Enfasigrassetto"/>
              </w:rPr>
              <w:t>interventi di installazione di specifici impianti fotovoltaici</w:t>
            </w:r>
            <w:r>
              <w:t>.</w:t>
            </w:r>
          </w:p>
        </w:tc>
      </w:tr>
      <w:tr w:rsidR="008674DC" w14:paraId="3323AF2B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52935D25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Credito d’imposta per l’adeguamento degli ambienti di lavoro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A69425C" w14:textId="77777777" w:rsidR="008674DC" w:rsidRDefault="008674DC">
            <w:pPr>
              <w:pStyle w:val="NormaleWeb"/>
            </w:pPr>
            <w:r>
              <w:t>Ai soggetti esercenti attività d’impresa, arte o professione </w:t>
            </w:r>
            <w:r>
              <w:rPr>
                <w:rStyle w:val="Enfasigrassetto"/>
              </w:rPr>
              <w:t>in luoghi aperti al pubblico </w:t>
            </w:r>
            <w:r>
              <w:t>è riconosciuto un </w:t>
            </w:r>
            <w:r>
              <w:rPr>
                <w:rStyle w:val="Enfasigrassetto"/>
              </w:rPr>
              <w:t>credito d’imposta pari al 60%</w:t>
            </w:r>
            <w:r>
              <w:t> delle spese sostenute nel 2020, per un massimo di 80.000 euro, in relazione agli </w:t>
            </w:r>
            <w:r>
              <w:rPr>
                <w:rStyle w:val="Enfasigrassetto"/>
              </w:rPr>
              <w:t>interventi necessari per far rispettare le prescrizioni sanitarie e le misure di contenimento</w:t>
            </w:r>
            <w:r>
              <w:t> contro la diffusione del virus Covid-19.</w:t>
            </w:r>
          </w:p>
        </w:tc>
      </w:tr>
      <w:tr w:rsidR="008674DC" w14:paraId="5BC05A4D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B03E640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Proroga dei termini di versamento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5FA51916" w14:textId="77777777" w:rsidR="008674DC" w:rsidRDefault="008674DC">
            <w:pPr>
              <w:pStyle w:val="NormaleWeb"/>
            </w:pPr>
            <w:r>
              <w:t>I versamenti sospesi ai sensi delle specifiche disposizioni del Decreto Liquidità e del Decreto Cura Italia devono essere effettuati entro il </w:t>
            </w:r>
            <w:r>
              <w:rPr>
                <w:rStyle w:val="Enfasigrassetto"/>
              </w:rPr>
              <w:t>16 settembre 2020</w:t>
            </w:r>
            <w:r>
              <w:t>.</w:t>
            </w:r>
          </w:p>
        </w:tc>
      </w:tr>
      <w:tr w:rsidR="008674DC" w14:paraId="31A75F00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D5518BB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Trasmissione telematica dei corrispettivi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44A2B931" w14:textId="77777777" w:rsidR="008674DC" w:rsidRDefault="008674DC">
            <w:pPr>
              <w:pStyle w:val="NormaleWeb"/>
            </w:pPr>
            <w:r>
              <w:t>Viene prorogato fino al </w:t>
            </w:r>
            <w:r>
              <w:rPr>
                <w:rStyle w:val="Enfasigrassetto"/>
              </w:rPr>
              <w:t>1° gennaio 2021</w:t>
            </w:r>
            <w:r>
              <w:t> il periodo di non applicazione delle sanzioni in caso di </w:t>
            </w:r>
            <w:r>
              <w:rPr>
                <w:rStyle w:val="Enfasigrassetto"/>
              </w:rPr>
              <w:t>trasmissione telematica dei corrispettivi entro il mese successivo a quello di effettuazione dell’operazione</w:t>
            </w:r>
            <w:r>
              <w:t>.</w:t>
            </w:r>
          </w:p>
        </w:tc>
      </w:tr>
      <w:tr w:rsidR="008674DC" w14:paraId="0F666833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CF44070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lastRenderedPageBreak/>
              <w:t>Lotteria degli scontrini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415906CB" w14:textId="77777777" w:rsidR="008674DC" w:rsidRDefault="008674DC">
            <w:pPr>
              <w:pStyle w:val="NormaleWeb"/>
            </w:pPr>
            <w:r>
              <w:t>È differita al </w:t>
            </w:r>
            <w:r>
              <w:rPr>
                <w:rStyle w:val="Enfasigrassetto"/>
              </w:rPr>
              <w:t>1° gennaio 2021</w:t>
            </w:r>
            <w:r>
              <w:t> la decorrenza della c.d. “</w:t>
            </w:r>
            <w:r>
              <w:rPr>
                <w:rStyle w:val="Enfasigrassetto"/>
              </w:rPr>
              <w:t>lotteria degli scontrini</w:t>
            </w:r>
            <w:r>
              <w:t>”.</w:t>
            </w:r>
          </w:p>
        </w:tc>
      </w:tr>
      <w:tr w:rsidR="008674DC" w14:paraId="04CD0EB7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66B826D2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Pagamento avvisi bonari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41B62C44" w14:textId="77777777" w:rsidR="008674DC" w:rsidRDefault="008674DC">
            <w:pPr>
              <w:pStyle w:val="NormaleWeb"/>
            </w:pPr>
            <w:r>
              <w:t>È prevista una </w:t>
            </w:r>
            <w:r>
              <w:rPr>
                <w:rStyle w:val="Enfasigrassetto"/>
              </w:rPr>
              <w:t>rimessione nei termini</w:t>
            </w:r>
            <w:r>
              <w:t> per i </w:t>
            </w:r>
            <w:r>
              <w:rPr>
                <w:rStyle w:val="Enfasigrassetto"/>
              </w:rPr>
              <w:t>pagamenti in scadenza tra l’8 marzo 2020 e il giorno antecedente l’entrata in vigore del decreto</w:t>
            </w:r>
            <w:r>
              <w:t>, anche per le rateazioni in corso, delle somme chieste mediante le </w:t>
            </w:r>
            <w:r>
              <w:rPr>
                <w:rStyle w:val="Enfasigrassetto"/>
              </w:rPr>
              <w:t>comunicazioni degli esiti del controllo di cui agli articoli 36-bis e 36-ter D.P.R. 600/1973, 54-bis D.P.R.  633/1972</w:t>
            </w:r>
            <w:r>
              <w:t>, nonché mediante le comunicazioni degli esiti della liquidazione relativamente ai </w:t>
            </w:r>
            <w:r>
              <w:rPr>
                <w:rStyle w:val="Enfasigrassetto"/>
              </w:rPr>
              <w:t>redditi soggetti a tassazione separata</w:t>
            </w:r>
            <w:r>
              <w:t>.</w:t>
            </w:r>
            <w:r>
              <w:br/>
              <w:t>La norma prevede altresì la </w:t>
            </w:r>
            <w:r>
              <w:rPr>
                <w:rStyle w:val="Enfasigrassetto"/>
              </w:rPr>
              <w:t>sospensione dei medesimi pagamenti in scadenza nel periodo compreso tra l’entrata in vigore del decreto e il 31 maggio 2020</w:t>
            </w:r>
            <w:r>
              <w:t>. I versamenti possono essere effettuati entro il 16 settembre 2020.</w:t>
            </w:r>
          </w:p>
        </w:tc>
      </w:tr>
      <w:tr w:rsidR="008674DC" w14:paraId="6B5A1A6A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49BA2612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Proroga termini versamento adesioni e mediazioni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05536519" w14:textId="77777777" w:rsidR="008674DC" w:rsidRDefault="008674DC">
            <w:pPr>
              <w:pStyle w:val="NormaleWeb"/>
            </w:pPr>
            <w:r>
              <w:t>Viene disposta la </w:t>
            </w:r>
            <w:r>
              <w:rPr>
                <w:rStyle w:val="Enfasigrassetto"/>
              </w:rPr>
              <w:t>proroga al 16 settembre</w:t>
            </w:r>
            <w:r>
              <w:t> del versamento della prima o unica rata relativa alle </w:t>
            </w:r>
            <w:r>
              <w:rPr>
                <w:rStyle w:val="Enfasigrassetto"/>
              </w:rPr>
              <w:t>adesioni</w:t>
            </w:r>
            <w:r>
              <w:t> sottoscritte, dei versamenti relativi alle </w:t>
            </w:r>
            <w:r>
              <w:rPr>
                <w:rStyle w:val="Enfasigrassetto"/>
              </w:rPr>
              <w:t>mediazioni</w:t>
            </w:r>
            <w:r>
              <w:t>, alle </w:t>
            </w:r>
            <w:r>
              <w:rPr>
                <w:rStyle w:val="Enfasigrassetto"/>
              </w:rPr>
              <w:t>conciliazioni</w:t>
            </w:r>
            <w:r>
              <w:t>, al </w:t>
            </w:r>
            <w:r>
              <w:rPr>
                <w:rStyle w:val="Enfasigrassetto"/>
              </w:rPr>
              <w:t>recupero dei crediti di imposta</w:t>
            </w:r>
            <w:r>
              <w:t> e a determinati </w:t>
            </w:r>
            <w:r>
              <w:rPr>
                <w:rStyle w:val="Enfasigrassetto"/>
              </w:rPr>
              <w:t>avvisi di liquidazione.</w:t>
            </w:r>
          </w:p>
        </w:tc>
      </w:tr>
      <w:tr w:rsidR="008674DC" w14:paraId="4B366CBB" w14:textId="77777777" w:rsidTr="008674DC">
        <w:trPr>
          <w:tblCellSpacing w:w="0" w:type="dxa"/>
        </w:trPr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AB44665" w14:textId="77777777" w:rsidR="008674DC" w:rsidRDefault="008674DC">
            <w:pPr>
              <w:pStyle w:val="NormaleWeb"/>
            </w:pPr>
            <w:r>
              <w:rPr>
                <w:rStyle w:val="Enfasigrassetto"/>
              </w:rPr>
              <w:t>Notifica avvisi di accertamento: proroga dei termini</w:t>
            </w:r>
          </w:p>
        </w:tc>
        <w:tc>
          <w:tcPr>
            <w:tcW w:w="6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1" w:type="dxa"/>
              <w:left w:w="301" w:type="dxa"/>
              <w:bottom w:w="301" w:type="dxa"/>
              <w:right w:w="301" w:type="dxa"/>
            </w:tcMar>
            <w:vAlign w:val="center"/>
            <w:hideMark/>
          </w:tcPr>
          <w:p w14:paraId="70FD947D" w14:textId="77777777" w:rsidR="008674DC" w:rsidRDefault="008674DC">
            <w:pPr>
              <w:pStyle w:val="NormaleWeb"/>
            </w:pPr>
            <w:r>
              <w:t>Gli </w:t>
            </w:r>
            <w:r>
              <w:rPr>
                <w:rStyle w:val="Enfasigrassetto"/>
              </w:rPr>
              <w:t>atti di accertamento, di contestazione, di irrogazione delle sanzioni</w:t>
            </w:r>
            <w:r>
              <w:t>, di </w:t>
            </w:r>
            <w:r>
              <w:rPr>
                <w:rStyle w:val="Enfasigrassetto"/>
              </w:rPr>
              <w:t>recupero dei crediti di imposta, di liquidazione e di rettifica e liquidazione</w:t>
            </w:r>
            <w:r>
              <w:t>, per i quali i termini di decadenza scadono tra il 9 marzo e il 31 dicembre 2020, sono </w:t>
            </w:r>
            <w:r>
              <w:rPr>
                <w:rStyle w:val="Enfasigrassetto"/>
              </w:rPr>
              <w:t>emessi entro il 31 dicembre 2020</w:t>
            </w:r>
            <w:r>
              <w:t> e sono </w:t>
            </w:r>
            <w:r>
              <w:rPr>
                <w:rStyle w:val="Enfasigrassetto"/>
              </w:rPr>
              <w:t>notificati nel periodo compreso tra il 1° gennaio e il 31 dicembre 2021</w:t>
            </w:r>
            <w:r>
              <w:t>.</w:t>
            </w:r>
          </w:p>
        </w:tc>
      </w:tr>
    </w:tbl>
    <w:p w14:paraId="04B26939" w14:textId="77777777" w:rsidR="00704100" w:rsidRDefault="00704100"/>
    <w:sectPr w:rsidR="00704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DC"/>
    <w:rsid w:val="00704100"/>
    <w:rsid w:val="0086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CD8A"/>
  <w15:chartTrackingRefBased/>
  <w15:docId w15:val="{30469350-3F69-4B04-AA21-BC4DA37E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4DC"/>
    <w:pPr>
      <w:spacing w:after="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674DC"/>
    <w:pPr>
      <w:spacing w:before="100" w:beforeAutospacing="1" w:after="100" w:afterAutospacing="1"/>
    </w:pPr>
    <w:rPr>
      <w:rFonts w:ascii="Calibri" w:hAnsi="Calibri" w:cs="Calibri"/>
    </w:rPr>
  </w:style>
  <w:style w:type="character" w:styleId="Enfasigrassetto">
    <w:name w:val="Strong"/>
    <w:basedOn w:val="Carpredefinitoparagrafo"/>
    <w:uiPriority w:val="22"/>
    <w:qFormat/>
    <w:rsid w:val="00867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2020-05-14T19:29:00Z</dcterms:created>
  <dcterms:modified xsi:type="dcterms:W3CDTF">2020-05-14T19:30:00Z</dcterms:modified>
</cp:coreProperties>
</file>